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</w:t>
      </w:r>
      <w:proofErr w:type="spellStart"/>
      <w:r w:rsidR="002A22BF" w:rsidRPr="002A5389">
        <w:rPr>
          <w:rFonts w:ascii="Corbel" w:hAnsi="Corbel"/>
          <w:bCs/>
          <w:i/>
        </w:rPr>
        <w:t>UR</w:t>
      </w:r>
      <w:proofErr w:type="spellEnd"/>
      <w:r w:rsidR="002A22BF" w:rsidRPr="002A5389">
        <w:rPr>
          <w:rFonts w:ascii="Corbel" w:hAnsi="Corbel"/>
          <w:bCs/>
          <w:i/>
        </w:rPr>
        <w:t xml:space="preserve">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684874A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A5389">
        <w:rPr>
          <w:rFonts w:ascii="Corbel" w:hAnsi="Corbel"/>
          <w:i/>
          <w:smallCaps/>
          <w:sz w:val="24"/>
          <w:szCs w:val="24"/>
        </w:rPr>
        <w:t>202</w:t>
      </w:r>
      <w:r w:rsidR="00E3612F">
        <w:rPr>
          <w:rFonts w:ascii="Corbel" w:hAnsi="Corbel"/>
          <w:i/>
          <w:smallCaps/>
          <w:sz w:val="24"/>
          <w:szCs w:val="24"/>
        </w:rPr>
        <w:t>1</w:t>
      </w:r>
      <w:r w:rsidR="00DC6D0C" w:rsidRPr="002A5389">
        <w:rPr>
          <w:rFonts w:ascii="Corbel" w:hAnsi="Corbel"/>
          <w:i/>
          <w:smallCaps/>
          <w:sz w:val="24"/>
          <w:szCs w:val="24"/>
        </w:rPr>
        <w:t>-202</w:t>
      </w:r>
      <w:r w:rsidR="00E3612F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3C4A8F5B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E3612F">
        <w:rPr>
          <w:rFonts w:ascii="Corbel" w:hAnsi="Corbel"/>
          <w:sz w:val="20"/>
          <w:szCs w:val="20"/>
        </w:rPr>
        <w:t>2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E3612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3E4105F" w:rsidR="0085747A" w:rsidRPr="002A5389" w:rsidRDefault="00580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A5389">
        <w:rPr>
          <w:rFonts w:ascii="Corbel" w:hAnsi="Corbel"/>
          <w:sz w:val="24"/>
          <w:szCs w:val="24"/>
        </w:rPr>
        <w:t>ECTS</w:t>
      </w:r>
      <w:proofErr w:type="spellEnd"/>
      <w:r w:rsidRPr="002A5389">
        <w:rPr>
          <w:rFonts w:ascii="Corbel" w:hAnsi="Corbel"/>
          <w:sz w:val="24"/>
          <w:szCs w:val="24"/>
        </w:rPr>
        <w:t xml:space="preserve">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A538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CEAA6DF" w:rsidR="00015B8F" w:rsidRPr="002A5389" w:rsidRDefault="00580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106EEE72" w:rsidR="00015B8F" w:rsidRPr="002A5389" w:rsidRDefault="00580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43D4472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2"/>
    <w:p w14:paraId="1161DE78" w14:textId="77777777" w:rsidR="00E22FBC" w:rsidRPr="002A53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1.3 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84B68BA" w:rsidR="00E960BB" w:rsidRPr="002A5389" w:rsidRDefault="00F22E10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E</w:t>
      </w:r>
      <w:r w:rsidR="009D72BD" w:rsidRPr="002A5389">
        <w:rPr>
          <w:rFonts w:ascii="Corbel" w:hAnsi="Corbel"/>
          <w:b w:val="0"/>
          <w:smallCaps w:val="0"/>
          <w:szCs w:val="24"/>
        </w:rPr>
        <w:t xml:space="preserve">gzamin 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Pr="002A53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Omówienie podstaw i zasad analizy strategicznej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 aparaturą pojęciową i wybranymi metodami związanymi z analizą strategiczną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Poznane praktycznych aspektów analizy strategicznej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165C579B" w14:textId="77777777" w:rsidR="00F83B28" w:rsidRPr="002A538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16A83E5C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wykorzystać metody analizy strategicznej przedsiębiorstw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17A8CEC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2A53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617678">
        <w:tc>
          <w:tcPr>
            <w:tcW w:w="9520" w:type="dxa"/>
          </w:tcPr>
          <w:p w14:paraId="0918E7AD" w14:textId="77777777" w:rsidR="0085747A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4FCE58D" w14:textId="12E07601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analizy strategicznej i </w:t>
            </w:r>
            <w:r w:rsidRPr="002A5389">
              <w:rPr>
                <w:rFonts w:ascii="Corbel" w:hAnsi="Corbel"/>
                <w:sz w:val="24"/>
                <w:szCs w:val="24"/>
              </w:rPr>
              <w:t>realizacji procesu inwestycyjnego w przedsiębiorstwie i gospodarce.</w:t>
            </w:r>
          </w:p>
          <w:p w14:paraId="19597A6B" w14:textId="77777777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  <w:p w14:paraId="79830BF0" w14:textId="61CD7D7C" w:rsidR="00AB110B" w:rsidRPr="002A5389" w:rsidRDefault="00AB110B" w:rsidP="001C2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Etapy procesu inwestycyjnego</w:t>
            </w:r>
            <w:r w:rsidR="001C20EE" w:rsidRPr="002A5389">
              <w:rPr>
                <w:rFonts w:ascii="Corbel" w:hAnsi="Corbel"/>
                <w:sz w:val="24"/>
                <w:szCs w:val="24"/>
              </w:rPr>
              <w:t>, charakterystyka z uwzględnieniem problemu koncentracji zasobów adekwatnych do poszczególnych faz procesu inwestycyjnego.</w:t>
            </w:r>
          </w:p>
          <w:p w14:paraId="786304F7" w14:textId="77777777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  <w:p w14:paraId="1C9DC2D6" w14:textId="59BAA59A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 xml:space="preserve">Źródła finansowania inwestycji. </w:t>
            </w:r>
          </w:p>
          <w:p w14:paraId="128F0B60" w14:textId="55104220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  <w:p w14:paraId="2169BA42" w14:textId="07A3870C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Ryzyko w procesie inwestycyjnym 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617678">
        <w:tc>
          <w:tcPr>
            <w:tcW w:w="9520" w:type="dxa"/>
          </w:tcPr>
          <w:p w14:paraId="680A46B5" w14:textId="3959C962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, metoda delficka, metody scenariuszowe (scenariusze możliwych zdarzeń, symulacyjne, stanów otoczenia, procesów w otoczeniu, budowanie scenariusza),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PEST</w:t>
            </w:r>
            <w:proofErr w:type="spellEnd"/>
          </w:p>
          <w:p w14:paraId="47A5D34A" w14:textId="6710806E" w:rsidR="00AB110B" w:rsidRPr="002A5389" w:rsidRDefault="00EA0CE4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  <w:p w14:paraId="01E49C8D" w14:textId="69B182D0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z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benchamrking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SWOT</w:t>
            </w:r>
            <w:proofErr w:type="spellEnd"/>
            <w:r w:rsidR="00EA0CE4" w:rsidRPr="002A5389">
              <w:rPr>
                <w:rFonts w:ascii="Corbel" w:hAnsi="Corbel"/>
                <w:sz w:val="24"/>
                <w:szCs w:val="24"/>
              </w:rPr>
              <w:t>.</w:t>
            </w:r>
          </w:p>
          <w:p w14:paraId="68332CF7" w14:textId="448F9A0E" w:rsidR="00AB110B" w:rsidRPr="002A5389" w:rsidRDefault="00AB110B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2A5389">
              <w:rPr>
                <w:rFonts w:ascii="Corbel" w:hAnsi="Corbel"/>
                <w:sz w:val="24"/>
                <w:szCs w:val="24"/>
              </w:rPr>
              <w:t>narzędzia oceny inwestycji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,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wskaźniki obsługi zadłużenia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wielopłaszczyznowe analizy inwestycji (wskaźnikowa, wrażliwości, scenariuszy, progu rentowności)</w:t>
            </w:r>
          </w:p>
          <w:p w14:paraId="1B99C73F" w14:textId="4C978A0B" w:rsidR="00AB110B" w:rsidRPr="002A5389" w:rsidRDefault="00EA0CE4" w:rsidP="00EA0CE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7ABC18D5" w14:textId="4B9E3D62" w:rsidR="005D3E85" w:rsidRPr="002A5389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D119F9D" w14:textId="0496E9E3" w:rsidR="005D3E85" w:rsidRPr="002A5389" w:rsidRDefault="000F41D1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255ECF6D" w14:textId="77777777" w:rsidTr="00105BB4">
        <w:tc>
          <w:tcPr>
            <w:tcW w:w="1962" w:type="dxa"/>
          </w:tcPr>
          <w:p w14:paraId="2CE10E8C" w14:textId="10A5BE2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0F7D831" w14:textId="3A5067D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F2DA6A4" w14:textId="07B57DB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4B3FD93" w14:textId="77777777" w:rsidTr="00105BB4">
        <w:tc>
          <w:tcPr>
            <w:tcW w:w="1962" w:type="dxa"/>
          </w:tcPr>
          <w:p w14:paraId="41484703" w14:textId="417BD68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CD923B2" w14:textId="39AC44AD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13B22D5" w14:textId="734FB148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090EB30F" w14:textId="77777777" w:rsidTr="001B0CE4">
        <w:tc>
          <w:tcPr>
            <w:tcW w:w="1962" w:type="dxa"/>
          </w:tcPr>
          <w:p w14:paraId="7378021E" w14:textId="46E29B8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F626AB" w14:textId="20D362B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7364C02" w14:textId="37D265A6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4C3B58B2" w14:textId="77777777" w:rsidTr="001B0CE4">
        <w:tc>
          <w:tcPr>
            <w:tcW w:w="1962" w:type="dxa"/>
          </w:tcPr>
          <w:p w14:paraId="13F8011F" w14:textId="7E75DF6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C4FBE5B" w14:textId="687EACFE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A467677" w14:textId="141B649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14C8A978" w14:textId="77777777" w:rsidTr="001B0CE4">
        <w:tc>
          <w:tcPr>
            <w:tcW w:w="1962" w:type="dxa"/>
          </w:tcPr>
          <w:p w14:paraId="1BC6779D" w14:textId="0B09B185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E7786F" w14:textId="5EBF740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6040F37" w14:textId="2B9F6151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225F7CE" w14:textId="77777777" w:rsidTr="001B0CE4">
        <w:tc>
          <w:tcPr>
            <w:tcW w:w="1962" w:type="dxa"/>
          </w:tcPr>
          <w:p w14:paraId="711A1710" w14:textId="0DEBE91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0F3C30B" w14:textId="71D3E02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28E24C8" w14:textId="528534E2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71AA4C5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2E10" w:rsidRPr="002A5389" w14:paraId="245BD5B0" w14:textId="77777777" w:rsidTr="00617678">
        <w:tc>
          <w:tcPr>
            <w:tcW w:w="1962" w:type="dxa"/>
          </w:tcPr>
          <w:p w14:paraId="55580304" w14:textId="78AC8621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2C789083" w14:textId="6B6646A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84CC630" w14:textId="3928437E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01CB8CF5" w14:textId="256C59C5" w:rsidR="00763926" w:rsidRPr="002A5389" w:rsidRDefault="00763926" w:rsidP="0394F7AC">
            <w:pPr>
              <w:pStyle w:val="Punktygwne"/>
              <w:tabs>
                <w:tab w:val="left" w:pos="2250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1242BFEF" w:rsidRPr="002A5389">
              <w:rPr>
                <w:rFonts w:ascii="Corbel" w:hAnsi="Corbel"/>
                <w:b w:val="0"/>
                <w:smallCaps w:val="0"/>
              </w:rPr>
              <w:t>minimum 51</w:t>
            </w:r>
            <w:r w:rsidRPr="002A5389">
              <w:rPr>
                <w:rFonts w:ascii="Corbel" w:hAnsi="Corbel"/>
                <w:b w:val="0"/>
                <w:smallCaps w:val="0"/>
              </w:rPr>
              <w:t xml:space="preserve">% możliwych punktów z egzaminu pisemnego i zaliczenia ćwiczeń. </w:t>
            </w:r>
          </w:p>
          <w:p w14:paraId="6F541DD2" w14:textId="6A7CDF9C" w:rsidR="0085747A" w:rsidRPr="002A5389" w:rsidRDefault="00763926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>Zaliczenie ćwiczeń – na ocenę z ćwiczeń składa się ocena z kolokwium (w 70%) oraz prezentacji przygotowanej w grupach (w 30%). W przypadku kolokwium wymagane jest uzyskanie minimum 51% możliwych</w:t>
            </w:r>
            <w:r w:rsidR="7A1F934C" w:rsidRPr="002A5389">
              <w:rPr>
                <w:rFonts w:ascii="Corbel" w:hAnsi="Corbel"/>
                <w:b w:val="0"/>
                <w:smallCaps w:val="0"/>
              </w:rPr>
              <w:t xml:space="preserve"> do </w:t>
            </w:r>
            <w:r w:rsidR="01A01056" w:rsidRPr="002A5389">
              <w:rPr>
                <w:rFonts w:ascii="Corbel" w:hAnsi="Corbel"/>
                <w:b w:val="0"/>
                <w:smallCaps w:val="0"/>
              </w:rPr>
              <w:t>uzyskania punktów.</w:t>
            </w: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A5389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A5389">
        <w:rPr>
          <w:rFonts w:ascii="Corbel" w:hAnsi="Corbel"/>
          <w:b/>
          <w:sz w:val="24"/>
          <w:szCs w:val="24"/>
        </w:rPr>
        <w:t xml:space="preserve">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17CACD4" w:rsidR="0085747A" w:rsidRPr="002A5389" w:rsidRDefault="005805B4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978B2E4" w:rsidR="00C61DC5" w:rsidRPr="002A5389" w:rsidRDefault="005805B4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6396ECC9" w:rsidR="00C61DC5" w:rsidRPr="002A5389" w:rsidRDefault="005805B4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196F473" w:rsidR="0085747A" w:rsidRPr="002A5389" w:rsidRDefault="00CA14FA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</w:t>
            </w:r>
            <w:r w:rsidR="009D72BD" w:rsidRPr="002A538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A538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E0D45" w14:textId="1391DD44" w:rsidR="0085747A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A538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A538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04787E2D" w:rsidR="009D72BD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A. Michalak,  Finansowanie inwestycji w teorii i praktyce, Wydawnictwo Naukowe PWN, Warszawa, 2011</w:t>
            </w:r>
          </w:p>
        </w:tc>
      </w:tr>
      <w:tr w:rsidR="009D72BD" w:rsidRPr="002A5389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42E2F0" w14:textId="16412114" w:rsidR="00B6701F" w:rsidRPr="002A5389" w:rsidRDefault="450D7324" w:rsidP="00B6701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68B4211" w14:textId="1D507074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Dybka S., Uwarunkowania skutecznych negocjacji biznesowych, Handel wewnętrzny w Polsce 2011-2016,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IBRKIK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Warszawa, 2016, s. 225 – 244</w:t>
            </w:r>
          </w:p>
          <w:p w14:paraId="6F0D50DB" w14:textId="2533F456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Dybka S., Cyran K., Wpływ działań integracyjnych na pozycję konkurencyjną przedsiębiorstw, Zeszyty Naukowe Ostrołęckiego Towarzystwa Naukowego im. Adama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T. 25, 2011, s. 267-282.</w:t>
            </w:r>
          </w:p>
        </w:tc>
      </w:tr>
    </w:tbl>
    <w:p w14:paraId="11D2B4B9" w14:textId="77777777" w:rsidR="00675843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96C98B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807CF" w14:textId="77777777" w:rsidR="00E7660E" w:rsidRDefault="00E7660E" w:rsidP="00C16ABF">
      <w:pPr>
        <w:spacing w:after="0" w:line="240" w:lineRule="auto"/>
      </w:pPr>
      <w:r>
        <w:separator/>
      </w:r>
    </w:p>
  </w:endnote>
  <w:endnote w:type="continuationSeparator" w:id="0">
    <w:p w14:paraId="3697FDC8" w14:textId="77777777" w:rsidR="00E7660E" w:rsidRDefault="00E766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0F6DB" w14:textId="77777777" w:rsidR="00E7660E" w:rsidRDefault="00E7660E" w:rsidP="00C16ABF">
      <w:pPr>
        <w:spacing w:after="0" w:line="240" w:lineRule="auto"/>
      </w:pPr>
      <w:r>
        <w:separator/>
      </w:r>
    </w:p>
  </w:footnote>
  <w:footnote w:type="continuationSeparator" w:id="0">
    <w:p w14:paraId="54A65324" w14:textId="77777777" w:rsidR="00E7660E" w:rsidRDefault="00E7660E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8173ED7"/>
    <w:multiLevelType w:val="hybridMultilevel"/>
    <w:tmpl w:val="E0523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08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805B4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71958"/>
    <w:rsid w:val="00675843"/>
    <w:rsid w:val="0067737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5343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DE4"/>
    <w:rsid w:val="00E129B8"/>
    <w:rsid w:val="00E21E7D"/>
    <w:rsid w:val="00E22FBC"/>
    <w:rsid w:val="00E24BF5"/>
    <w:rsid w:val="00E25338"/>
    <w:rsid w:val="00E3612F"/>
    <w:rsid w:val="00E51E44"/>
    <w:rsid w:val="00E63348"/>
    <w:rsid w:val="00E661B9"/>
    <w:rsid w:val="00E742AA"/>
    <w:rsid w:val="00E7660E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01AA2-F48C-408F-8EE8-D02FC90F5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DCDF54-9E39-458E-8EF3-C8F0642E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1061</Words>
  <Characters>6367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2020-12-13T23:42:00Z</dcterms:created>
  <dcterms:modified xsi:type="dcterms:W3CDTF">2021-09-06T07:16:00Z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